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F6D" w:rsidRPr="00712F37" w:rsidRDefault="00972F6D"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rPr>
          <w:rFonts w:ascii="Times New Roman" w:hAnsi="Times New Roman" w:cs="Times New Roman"/>
          <w:sz w:val="24"/>
          <w:szCs w:val="24"/>
        </w:rPr>
      </w:pPr>
    </w:p>
    <w:p w:rsidR="00B33687" w:rsidRPr="00712F37" w:rsidRDefault="00B33687" w:rsidP="00712F37">
      <w:pPr>
        <w:spacing w:after="0" w:line="480" w:lineRule="auto"/>
        <w:jc w:val="center"/>
        <w:rPr>
          <w:rFonts w:ascii="Times New Roman" w:hAnsi="Times New Roman" w:cs="Times New Roman"/>
          <w:sz w:val="24"/>
          <w:szCs w:val="24"/>
        </w:rPr>
      </w:pPr>
      <w:r w:rsidRPr="00712F37">
        <w:rPr>
          <w:rFonts w:ascii="Times New Roman" w:hAnsi="Times New Roman" w:cs="Times New Roman"/>
          <w:sz w:val="24"/>
          <w:szCs w:val="24"/>
        </w:rPr>
        <w:t>COX Inhibitors</w:t>
      </w:r>
    </w:p>
    <w:p w:rsidR="00B33687" w:rsidRPr="00712F37" w:rsidRDefault="00B33687" w:rsidP="00712F37">
      <w:pPr>
        <w:spacing w:after="0" w:line="480" w:lineRule="auto"/>
        <w:jc w:val="center"/>
        <w:rPr>
          <w:rFonts w:ascii="Times New Roman" w:hAnsi="Times New Roman" w:cs="Times New Roman"/>
          <w:sz w:val="24"/>
          <w:szCs w:val="24"/>
        </w:rPr>
      </w:pPr>
      <w:r w:rsidRPr="00712F37">
        <w:rPr>
          <w:rFonts w:ascii="Times New Roman" w:hAnsi="Times New Roman" w:cs="Times New Roman"/>
          <w:sz w:val="24"/>
          <w:szCs w:val="24"/>
        </w:rPr>
        <w:t>Name:</w:t>
      </w:r>
    </w:p>
    <w:p w:rsidR="00D70E44" w:rsidRPr="00712F37" w:rsidRDefault="00B33687" w:rsidP="00712F37">
      <w:pPr>
        <w:spacing w:after="0" w:line="480" w:lineRule="auto"/>
        <w:jc w:val="center"/>
        <w:rPr>
          <w:rFonts w:ascii="Times New Roman" w:hAnsi="Times New Roman" w:cs="Times New Roman"/>
          <w:sz w:val="24"/>
          <w:szCs w:val="24"/>
        </w:rPr>
      </w:pPr>
      <w:r w:rsidRPr="00712F37">
        <w:rPr>
          <w:rFonts w:ascii="Times New Roman" w:hAnsi="Times New Roman" w:cs="Times New Roman"/>
          <w:sz w:val="24"/>
          <w:szCs w:val="24"/>
        </w:rPr>
        <w:t xml:space="preserve">University: </w:t>
      </w:r>
      <w:r w:rsidR="00D70E44" w:rsidRPr="00712F37">
        <w:rPr>
          <w:rFonts w:ascii="Times New Roman" w:hAnsi="Times New Roman" w:cs="Times New Roman"/>
          <w:sz w:val="24"/>
          <w:szCs w:val="24"/>
        </w:rPr>
        <w:t xml:space="preserve"> </w:t>
      </w:r>
    </w:p>
    <w:p w:rsidR="00D70E44" w:rsidRPr="00712F37" w:rsidRDefault="00D70E44" w:rsidP="00712F37">
      <w:pPr>
        <w:spacing w:line="480" w:lineRule="auto"/>
        <w:rPr>
          <w:rFonts w:ascii="Times New Roman" w:hAnsi="Times New Roman" w:cs="Times New Roman"/>
          <w:sz w:val="24"/>
          <w:szCs w:val="24"/>
        </w:rPr>
      </w:pPr>
      <w:r w:rsidRPr="00712F37">
        <w:rPr>
          <w:rFonts w:ascii="Times New Roman" w:hAnsi="Times New Roman" w:cs="Times New Roman"/>
          <w:sz w:val="24"/>
          <w:szCs w:val="24"/>
        </w:rPr>
        <w:br w:type="page"/>
      </w:r>
    </w:p>
    <w:p w:rsidR="00B33687" w:rsidRPr="00712F37" w:rsidRDefault="00D70E44" w:rsidP="00712F37">
      <w:pPr>
        <w:spacing w:after="0" w:line="480" w:lineRule="auto"/>
        <w:jc w:val="center"/>
        <w:rPr>
          <w:rFonts w:ascii="Times New Roman" w:hAnsi="Times New Roman" w:cs="Times New Roman"/>
          <w:sz w:val="24"/>
          <w:szCs w:val="24"/>
        </w:rPr>
      </w:pPr>
      <w:r w:rsidRPr="00712F37">
        <w:rPr>
          <w:rFonts w:ascii="Times New Roman" w:hAnsi="Times New Roman" w:cs="Times New Roman"/>
          <w:sz w:val="24"/>
          <w:szCs w:val="24"/>
        </w:rPr>
        <w:lastRenderedPageBreak/>
        <w:t>COX Inhibitors</w:t>
      </w:r>
    </w:p>
    <w:p w:rsidR="00D70E44" w:rsidRPr="00712F37" w:rsidRDefault="00D70E44" w:rsidP="00712F37">
      <w:pPr>
        <w:spacing w:after="0" w:line="480" w:lineRule="auto"/>
        <w:rPr>
          <w:rFonts w:ascii="Times New Roman" w:hAnsi="Times New Roman" w:cs="Times New Roman"/>
          <w:sz w:val="24"/>
          <w:szCs w:val="24"/>
        </w:rPr>
      </w:pPr>
      <w:r w:rsidRPr="00712F37">
        <w:rPr>
          <w:rFonts w:ascii="Times New Roman" w:hAnsi="Times New Roman" w:cs="Times New Roman"/>
          <w:sz w:val="24"/>
          <w:szCs w:val="24"/>
        </w:rPr>
        <w:tab/>
        <w:t>COX inhibito</w:t>
      </w:r>
      <w:r w:rsidR="00650278" w:rsidRPr="00712F37">
        <w:rPr>
          <w:rFonts w:ascii="Times New Roman" w:hAnsi="Times New Roman" w:cs="Times New Roman"/>
          <w:sz w:val="24"/>
          <w:szCs w:val="24"/>
        </w:rPr>
        <w:t>rs are common prescription analgesics; they are also called nonsteroidal anti-inflammatory drugs (NSAIDs)</w:t>
      </w:r>
      <w:r w:rsidRPr="00712F37">
        <w:rPr>
          <w:rFonts w:ascii="Times New Roman" w:hAnsi="Times New Roman" w:cs="Times New Roman"/>
          <w:sz w:val="24"/>
          <w:szCs w:val="24"/>
        </w:rPr>
        <w:t>. They are prescribed for various types and severities of pain. They are, however, best for pain that is associated with inflammation. The drugs work by inhibiting the rate-limiting step in the biosynthesis of various modulators of inflammation that are collectively called prostaglandins. Pain is one of the cardinal features of inflammation; thus, by inhibiting an inflammatory response, the drug effectively serve as analgesics. Additionally, local and systemic increase in temperature are also markers of inflammation. By inhibiting the inflammatory response and release of inflammatory mediators such as interleukin-1 and Tumor Necrosis Factor (TNF), these drugs effectively cause a decrease in body temperature hence their use as antipyretics</w:t>
      </w:r>
      <w:r w:rsidR="007E17D0">
        <w:rPr>
          <w:rFonts w:ascii="Times New Roman" w:hAnsi="Times New Roman" w:cs="Times New Roman"/>
          <w:sz w:val="24"/>
          <w:szCs w:val="24"/>
        </w:rPr>
        <w:t xml:space="preserve"> (Lanas, 2016)</w:t>
      </w:r>
      <w:r w:rsidRPr="00712F37">
        <w:rPr>
          <w:rFonts w:ascii="Times New Roman" w:hAnsi="Times New Roman" w:cs="Times New Roman"/>
          <w:sz w:val="24"/>
          <w:szCs w:val="24"/>
        </w:rPr>
        <w:t xml:space="preserve">. The drugs are, therefore, best for patients with acute inflammatory conditions that cause pain and fever. </w:t>
      </w:r>
      <w:r w:rsidR="00650278" w:rsidRPr="00712F37">
        <w:rPr>
          <w:rFonts w:ascii="Times New Roman" w:hAnsi="Times New Roman" w:cs="Times New Roman"/>
          <w:sz w:val="24"/>
          <w:szCs w:val="24"/>
        </w:rPr>
        <w:t xml:space="preserve">Due to their analgesic potency and their low potential for abuse, they are commonly prescribed drugs. However, these drugs have important adverse effects that form a focus for the major nursing implications of their use. </w:t>
      </w:r>
    </w:p>
    <w:p w:rsidR="00650278" w:rsidRPr="00712F37" w:rsidRDefault="00650278" w:rsidP="00712F37">
      <w:pPr>
        <w:spacing w:after="0" w:line="480" w:lineRule="auto"/>
        <w:rPr>
          <w:rFonts w:ascii="Times New Roman" w:hAnsi="Times New Roman" w:cs="Times New Roman"/>
          <w:sz w:val="24"/>
          <w:szCs w:val="24"/>
        </w:rPr>
      </w:pPr>
      <w:r w:rsidRPr="00712F37">
        <w:rPr>
          <w:rFonts w:ascii="Times New Roman" w:hAnsi="Times New Roman" w:cs="Times New Roman"/>
          <w:sz w:val="24"/>
          <w:szCs w:val="24"/>
        </w:rPr>
        <w:tab/>
        <w:t>Even though there are many systems of classifying these group of drugs, their specificity for the type of COX they inhibit is the most useful classification system. The major types of COX are COX-1 and COX-2. COX-1 is constitutively expressed in many body cells. COX-2 is majorly expressed in pathologic states. COX-2 is, however, constitutively expressed in vascular endothelial cells</w:t>
      </w:r>
      <w:r w:rsidR="007E17D0">
        <w:rPr>
          <w:rFonts w:ascii="Times New Roman" w:hAnsi="Times New Roman" w:cs="Times New Roman"/>
          <w:sz w:val="24"/>
          <w:szCs w:val="24"/>
        </w:rPr>
        <w:t xml:space="preserve"> </w:t>
      </w:r>
      <w:r w:rsidR="007E17D0">
        <w:rPr>
          <w:rFonts w:ascii="Times New Roman" w:hAnsi="Times New Roman" w:cs="Times New Roman"/>
          <w:sz w:val="24"/>
          <w:szCs w:val="24"/>
        </w:rPr>
        <w:t>(Lanas, 2016)</w:t>
      </w:r>
      <w:r w:rsidRPr="00712F37">
        <w:rPr>
          <w:rFonts w:ascii="Times New Roman" w:hAnsi="Times New Roman" w:cs="Times New Roman"/>
          <w:sz w:val="24"/>
          <w:szCs w:val="24"/>
        </w:rPr>
        <w:t xml:space="preserve">. There COX inhibitors that specifically inhibit COX-1 while others specifically inhibit COX-2. Other COX inhibitors inhibit both types of the enzyme with varying degrees of preferential inhibition for either enzyme. </w:t>
      </w:r>
    </w:p>
    <w:p w:rsidR="008C7BAF" w:rsidRPr="00712F37" w:rsidRDefault="008C7BAF" w:rsidP="00712F37">
      <w:pPr>
        <w:spacing w:after="0" w:line="480" w:lineRule="auto"/>
        <w:rPr>
          <w:rFonts w:ascii="Times New Roman" w:hAnsi="Times New Roman" w:cs="Times New Roman"/>
          <w:sz w:val="24"/>
          <w:szCs w:val="24"/>
        </w:rPr>
      </w:pPr>
      <w:r w:rsidRPr="00712F37">
        <w:rPr>
          <w:rFonts w:ascii="Times New Roman" w:hAnsi="Times New Roman" w:cs="Times New Roman"/>
          <w:sz w:val="24"/>
          <w:szCs w:val="24"/>
        </w:rPr>
        <w:tab/>
        <w:t xml:space="preserve">Owing to their mechanism of action, COX-inhibitors have various adverse effects. Majority of the adverse effects are dose-dependent and have a cumulative effect hence a higher </w:t>
      </w:r>
      <w:r w:rsidRPr="00712F37">
        <w:rPr>
          <w:rFonts w:ascii="Times New Roman" w:hAnsi="Times New Roman" w:cs="Times New Roman"/>
          <w:sz w:val="24"/>
          <w:szCs w:val="24"/>
        </w:rPr>
        <w:lastRenderedPageBreak/>
        <w:t xml:space="preserve">severity in patients who are chronically exposed to these drugs. Among the most important effects of these drugs are </w:t>
      </w:r>
      <w:r w:rsidR="000154C1" w:rsidRPr="00712F37">
        <w:rPr>
          <w:rFonts w:ascii="Times New Roman" w:hAnsi="Times New Roman" w:cs="Times New Roman"/>
          <w:sz w:val="24"/>
          <w:szCs w:val="24"/>
        </w:rPr>
        <w:t>their potential vasoconstrictor</w:t>
      </w:r>
      <w:r w:rsidRPr="00712F37">
        <w:rPr>
          <w:rFonts w:ascii="Times New Roman" w:hAnsi="Times New Roman" w:cs="Times New Roman"/>
          <w:sz w:val="24"/>
          <w:szCs w:val="24"/>
        </w:rPr>
        <w:t xml:space="preserve"> effects, especially in the renal vascular bed. When this vasoconstriction affects the afferent arterioles, patients using COX inhibitors are at a significant risk of acute renal failure. </w:t>
      </w:r>
      <w:r w:rsidR="009329F2" w:rsidRPr="00712F37">
        <w:rPr>
          <w:rFonts w:ascii="Times New Roman" w:hAnsi="Times New Roman" w:cs="Times New Roman"/>
          <w:sz w:val="24"/>
          <w:szCs w:val="24"/>
        </w:rPr>
        <w:t>These drugs can also cause hyperkalemia which is an important risk factor for life-threatening arrhythmias</w:t>
      </w:r>
      <w:r w:rsidR="004A0233" w:rsidRPr="00712F37">
        <w:rPr>
          <w:rFonts w:ascii="Times New Roman" w:hAnsi="Times New Roman" w:cs="Times New Roman"/>
          <w:sz w:val="24"/>
          <w:szCs w:val="24"/>
        </w:rPr>
        <w:t xml:space="preserve"> (Dixit et al., 2010)</w:t>
      </w:r>
      <w:r w:rsidR="009329F2" w:rsidRPr="00712F37">
        <w:rPr>
          <w:rFonts w:ascii="Times New Roman" w:hAnsi="Times New Roman" w:cs="Times New Roman"/>
          <w:sz w:val="24"/>
          <w:szCs w:val="24"/>
        </w:rPr>
        <w:t xml:space="preserve">. </w:t>
      </w:r>
      <w:r w:rsidRPr="00712F37">
        <w:rPr>
          <w:rFonts w:ascii="Times New Roman" w:hAnsi="Times New Roman" w:cs="Times New Roman"/>
          <w:sz w:val="24"/>
          <w:szCs w:val="24"/>
        </w:rPr>
        <w:t xml:space="preserve">Patients with other risk factors for renal disease are at an even higher risk. Nurses have the responsibility to identify patients at significant risks of renal disease and advice both the patients and the prescribing physicians accordingly. For patients where </w:t>
      </w:r>
      <w:r w:rsidR="00B069E1">
        <w:rPr>
          <w:rFonts w:ascii="Times New Roman" w:hAnsi="Times New Roman" w:cs="Times New Roman"/>
          <w:sz w:val="24"/>
          <w:szCs w:val="24"/>
        </w:rPr>
        <w:t xml:space="preserve">the </w:t>
      </w:r>
      <w:r w:rsidRPr="00712F37">
        <w:rPr>
          <w:rFonts w:ascii="Times New Roman" w:hAnsi="Times New Roman" w:cs="Times New Roman"/>
          <w:sz w:val="24"/>
          <w:szCs w:val="24"/>
        </w:rPr>
        <w:t xml:space="preserve">use of COX-inhibitors is inevitable, nurses should be on the lookout for the signs of renal disease and educate the patients about these signs. Early identification of acute renal failure can enhance a better prognosis. </w:t>
      </w:r>
    </w:p>
    <w:p w:rsidR="008C7BAF" w:rsidRPr="00712F37" w:rsidRDefault="008C7BAF" w:rsidP="00712F37">
      <w:pPr>
        <w:spacing w:after="0" w:line="480" w:lineRule="auto"/>
        <w:rPr>
          <w:rFonts w:ascii="Times New Roman" w:hAnsi="Times New Roman" w:cs="Times New Roman"/>
          <w:sz w:val="24"/>
          <w:szCs w:val="24"/>
        </w:rPr>
      </w:pPr>
      <w:r w:rsidRPr="00712F37">
        <w:rPr>
          <w:rFonts w:ascii="Times New Roman" w:hAnsi="Times New Roman" w:cs="Times New Roman"/>
          <w:sz w:val="24"/>
          <w:szCs w:val="24"/>
        </w:rPr>
        <w:tab/>
        <w:t xml:space="preserve">Reduced renal efficiency also causes excess fluid retention. Fluid retention can tip patients at risk of heart failure into failure or worsen </w:t>
      </w:r>
      <w:r w:rsidR="000154C1" w:rsidRPr="00712F37">
        <w:rPr>
          <w:rFonts w:ascii="Times New Roman" w:hAnsi="Times New Roman" w:cs="Times New Roman"/>
          <w:sz w:val="24"/>
          <w:szCs w:val="24"/>
        </w:rPr>
        <w:t>preexisting heart</w:t>
      </w:r>
      <w:r w:rsidRPr="00712F37">
        <w:rPr>
          <w:rFonts w:ascii="Times New Roman" w:hAnsi="Times New Roman" w:cs="Times New Roman"/>
          <w:sz w:val="24"/>
          <w:szCs w:val="24"/>
        </w:rPr>
        <w:t xml:space="preserve"> failure. </w:t>
      </w:r>
      <w:r w:rsidR="000154C1" w:rsidRPr="00712F37">
        <w:rPr>
          <w:rFonts w:ascii="Times New Roman" w:hAnsi="Times New Roman" w:cs="Times New Roman"/>
          <w:sz w:val="24"/>
          <w:szCs w:val="24"/>
        </w:rPr>
        <w:t xml:space="preserve">Excessive fluid retention also causes extreme discomfort and predisposes the patient to significant complications including cardiogenic pulmonary edema and peripheral edema. Additionally, the vasoconstrictor effects of COX inhibitors can potentially precipitate ischemic heart disease in patients at risk. This risk is even higher with COX-2 inhibitors. By inhibiting the COX-2 that </w:t>
      </w:r>
      <w:r w:rsidR="00C82B5E" w:rsidRPr="00712F37">
        <w:rPr>
          <w:rFonts w:ascii="Times New Roman" w:hAnsi="Times New Roman" w:cs="Times New Roman"/>
          <w:sz w:val="24"/>
          <w:szCs w:val="24"/>
        </w:rPr>
        <w:t>is constitutively expressed in vascular endothelial cells, the drugs detail the cellular response to injury</w:t>
      </w:r>
      <w:r w:rsidR="004A0233" w:rsidRPr="00712F37">
        <w:rPr>
          <w:rFonts w:ascii="Times New Roman" w:hAnsi="Times New Roman" w:cs="Times New Roman"/>
          <w:sz w:val="24"/>
          <w:szCs w:val="24"/>
        </w:rPr>
        <w:t xml:space="preserve"> (Varga et al., 2017)</w:t>
      </w:r>
      <w:r w:rsidR="00C82B5E" w:rsidRPr="00712F37">
        <w:rPr>
          <w:rFonts w:ascii="Times New Roman" w:hAnsi="Times New Roman" w:cs="Times New Roman"/>
          <w:sz w:val="24"/>
          <w:szCs w:val="24"/>
        </w:rPr>
        <w:t xml:space="preserve">. </w:t>
      </w:r>
      <w:r w:rsidR="00A72106">
        <w:rPr>
          <w:rFonts w:ascii="Times New Roman" w:hAnsi="Times New Roman" w:cs="Times New Roman"/>
          <w:sz w:val="24"/>
          <w:szCs w:val="24"/>
        </w:rPr>
        <w:t>A h</w:t>
      </w:r>
      <w:r w:rsidR="00C82B5E" w:rsidRPr="00712F37">
        <w:rPr>
          <w:rFonts w:ascii="Times New Roman" w:hAnsi="Times New Roman" w:cs="Times New Roman"/>
          <w:sz w:val="24"/>
          <w:szCs w:val="24"/>
        </w:rPr>
        <w:t>igher degree of endothelial cell injury translates to</w:t>
      </w:r>
      <w:r w:rsidR="00A72106">
        <w:rPr>
          <w:rFonts w:ascii="Times New Roman" w:hAnsi="Times New Roman" w:cs="Times New Roman"/>
          <w:sz w:val="24"/>
          <w:szCs w:val="24"/>
        </w:rPr>
        <w:t xml:space="preserve"> a</w:t>
      </w:r>
      <w:bookmarkStart w:id="0" w:name="_GoBack"/>
      <w:bookmarkEnd w:id="0"/>
      <w:r w:rsidR="00C82B5E" w:rsidRPr="00712F37">
        <w:rPr>
          <w:rFonts w:ascii="Times New Roman" w:hAnsi="Times New Roman" w:cs="Times New Roman"/>
          <w:sz w:val="24"/>
          <w:szCs w:val="24"/>
        </w:rPr>
        <w:t xml:space="preserve"> higher risk of vascular occlusion hence myocardial infarction. </w:t>
      </w:r>
      <w:r w:rsidR="00EC277D" w:rsidRPr="00712F37">
        <w:rPr>
          <w:rFonts w:ascii="Times New Roman" w:hAnsi="Times New Roman" w:cs="Times New Roman"/>
          <w:sz w:val="24"/>
          <w:szCs w:val="24"/>
        </w:rPr>
        <w:t xml:space="preserve">Nurses have a responsibility to identify patients at risk of major cardiovascular events and advice both the patient and the prescribing physician accordingly. Nurses also have a responsibility to identify adverse cardiovascular events or excess fluid retention and notify the physician for early intervention. </w:t>
      </w:r>
    </w:p>
    <w:p w:rsidR="00D707C5" w:rsidRPr="00712F37" w:rsidRDefault="00D707C5" w:rsidP="00712F37">
      <w:pPr>
        <w:spacing w:after="0" w:line="480" w:lineRule="auto"/>
        <w:rPr>
          <w:rFonts w:ascii="Times New Roman" w:hAnsi="Times New Roman" w:cs="Times New Roman"/>
          <w:sz w:val="24"/>
          <w:szCs w:val="24"/>
        </w:rPr>
      </w:pPr>
      <w:r w:rsidRPr="00712F37">
        <w:rPr>
          <w:rFonts w:ascii="Times New Roman" w:hAnsi="Times New Roman" w:cs="Times New Roman"/>
          <w:sz w:val="24"/>
          <w:szCs w:val="24"/>
        </w:rPr>
        <w:lastRenderedPageBreak/>
        <w:tab/>
        <w:t xml:space="preserve">COX-inhibitors can also cause potential hypersensitivity reactions which could present as angioedema, drug rashes, or bronchoconstriction. NSAID-induced bronchoconstriction or exacerbation of asthma is relatively common. It can be severe. It is important for nurses to identify patients at risk of such events and advice both the patients and the prescribing physicians accordingly. Identification of early features of hypersensitivity can also help in early and effective intervention. </w:t>
      </w:r>
    </w:p>
    <w:p w:rsidR="00E72B42" w:rsidRPr="00712F37" w:rsidRDefault="00D707C5" w:rsidP="00712F37">
      <w:pPr>
        <w:spacing w:after="0" w:line="480" w:lineRule="auto"/>
        <w:rPr>
          <w:rFonts w:ascii="Times New Roman" w:hAnsi="Times New Roman" w:cs="Times New Roman"/>
          <w:sz w:val="24"/>
          <w:szCs w:val="24"/>
        </w:rPr>
      </w:pPr>
      <w:r w:rsidRPr="00712F37">
        <w:rPr>
          <w:rFonts w:ascii="Times New Roman" w:hAnsi="Times New Roman" w:cs="Times New Roman"/>
          <w:sz w:val="24"/>
          <w:szCs w:val="24"/>
        </w:rPr>
        <w:tab/>
        <w:t>COX</w:t>
      </w:r>
      <w:r w:rsidR="0043640E" w:rsidRPr="00712F37">
        <w:rPr>
          <w:rFonts w:ascii="Times New Roman" w:hAnsi="Times New Roman" w:cs="Times New Roman"/>
          <w:sz w:val="24"/>
          <w:szCs w:val="24"/>
        </w:rPr>
        <w:t>-inhibitors are significant causes of gastrointestinal bleeding. The risk of bleeding increases with the dose, the frequency of dosage, and the duration of dosage</w:t>
      </w:r>
      <w:r w:rsidR="00692547" w:rsidRPr="00712F37">
        <w:rPr>
          <w:rFonts w:ascii="Times New Roman" w:hAnsi="Times New Roman" w:cs="Times New Roman"/>
          <w:sz w:val="24"/>
          <w:szCs w:val="24"/>
        </w:rPr>
        <w:t xml:space="preserve"> (</w:t>
      </w:r>
      <w:r w:rsidR="00692547" w:rsidRPr="00712F37">
        <w:rPr>
          <w:rFonts w:ascii="Times New Roman" w:eastAsia="Times New Roman" w:hAnsi="Times New Roman" w:cs="Times New Roman"/>
          <w:sz w:val="24"/>
          <w:szCs w:val="24"/>
        </w:rPr>
        <w:t xml:space="preserve">Goldstein &amp; Cryer, </w:t>
      </w:r>
      <w:r w:rsidR="00692547" w:rsidRPr="00692547">
        <w:rPr>
          <w:rFonts w:ascii="Times New Roman" w:eastAsia="Times New Roman" w:hAnsi="Times New Roman" w:cs="Times New Roman"/>
          <w:sz w:val="24"/>
          <w:szCs w:val="24"/>
        </w:rPr>
        <w:t>2015)</w:t>
      </w:r>
      <w:r w:rsidR="0043640E" w:rsidRPr="00712F37">
        <w:rPr>
          <w:rFonts w:ascii="Times New Roman" w:hAnsi="Times New Roman" w:cs="Times New Roman"/>
          <w:sz w:val="24"/>
          <w:szCs w:val="24"/>
        </w:rPr>
        <w:t xml:space="preserve">. For patients on long-term COX inhibitor therapy, it is necessary for nurses to identify clinical features of life-threatening hemorrhage and other features of subtle hemorrhage like melena. </w:t>
      </w:r>
      <w:r w:rsidR="00752D0F" w:rsidRPr="00712F37">
        <w:rPr>
          <w:rFonts w:ascii="Times New Roman" w:hAnsi="Times New Roman" w:cs="Times New Roman"/>
          <w:sz w:val="24"/>
          <w:szCs w:val="24"/>
        </w:rPr>
        <w:t>Some NSAIDs like aspirin have a potential to increase bleeding tendency hence worsening the gastrointestinal bleeding and ulceration</w:t>
      </w:r>
      <w:r w:rsidR="00692547" w:rsidRPr="00712F37">
        <w:rPr>
          <w:rFonts w:ascii="Times New Roman" w:hAnsi="Times New Roman" w:cs="Times New Roman"/>
          <w:sz w:val="24"/>
          <w:szCs w:val="24"/>
        </w:rPr>
        <w:t xml:space="preserve"> </w:t>
      </w:r>
      <w:r w:rsidR="00692547" w:rsidRPr="00712F37">
        <w:rPr>
          <w:rFonts w:ascii="Times New Roman" w:hAnsi="Times New Roman" w:cs="Times New Roman"/>
          <w:sz w:val="24"/>
          <w:szCs w:val="24"/>
        </w:rPr>
        <w:t>(</w:t>
      </w:r>
      <w:r w:rsidR="00692547" w:rsidRPr="00712F37">
        <w:rPr>
          <w:rFonts w:ascii="Times New Roman" w:eastAsia="Times New Roman" w:hAnsi="Times New Roman" w:cs="Times New Roman"/>
          <w:sz w:val="24"/>
          <w:szCs w:val="24"/>
        </w:rPr>
        <w:t xml:space="preserve">Goldstein &amp; Cryer, </w:t>
      </w:r>
      <w:r w:rsidR="00692547" w:rsidRPr="00692547">
        <w:rPr>
          <w:rFonts w:ascii="Times New Roman" w:eastAsia="Times New Roman" w:hAnsi="Times New Roman" w:cs="Times New Roman"/>
          <w:sz w:val="24"/>
          <w:szCs w:val="24"/>
        </w:rPr>
        <w:t>2015)</w:t>
      </w:r>
      <w:r w:rsidR="00752D0F" w:rsidRPr="00712F37">
        <w:rPr>
          <w:rFonts w:ascii="Times New Roman" w:hAnsi="Times New Roman" w:cs="Times New Roman"/>
          <w:sz w:val="24"/>
          <w:szCs w:val="24"/>
        </w:rPr>
        <w:t xml:space="preserve">. This feature is worse with COX-1 </w:t>
      </w:r>
      <w:r w:rsidR="00E72B42" w:rsidRPr="00712F37">
        <w:rPr>
          <w:rFonts w:ascii="Times New Roman" w:hAnsi="Times New Roman" w:cs="Times New Roman"/>
          <w:sz w:val="24"/>
          <w:szCs w:val="24"/>
        </w:rPr>
        <w:t>inhibitors</w:t>
      </w:r>
      <w:r w:rsidR="00752D0F" w:rsidRPr="00712F37">
        <w:rPr>
          <w:rFonts w:ascii="Times New Roman" w:hAnsi="Times New Roman" w:cs="Times New Roman"/>
          <w:sz w:val="24"/>
          <w:szCs w:val="24"/>
        </w:rPr>
        <w:t xml:space="preserve">. Nurses should also be on the lookout </w:t>
      </w:r>
      <w:r w:rsidR="00E72B42" w:rsidRPr="00712F37">
        <w:rPr>
          <w:rFonts w:ascii="Times New Roman" w:hAnsi="Times New Roman" w:cs="Times New Roman"/>
          <w:sz w:val="24"/>
          <w:szCs w:val="24"/>
        </w:rPr>
        <w:t>for bleeding</w:t>
      </w:r>
      <w:r w:rsidR="00752D0F" w:rsidRPr="00712F37">
        <w:rPr>
          <w:rFonts w:ascii="Times New Roman" w:hAnsi="Times New Roman" w:cs="Times New Roman"/>
          <w:sz w:val="24"/>
          <w:szCs w:val="24"/>
        </w:rPr>
        <w:t xml:space="preserve"> tendencies. </w:t>
      </w:r>
    </w:p>
    <w:p w:rsidR="00E72B42" w:rsidRPr="00712F37" w:rsidRDefault="00E72B42" w:rsidP="00712F37">
      <w:pPr>
        <w:spacing w:line="480" w:lineRule="auto"/>
        <w:rPr>
          <w:rFonts w:ascii="Times New Roman" w:hAnsi="Times New Roman" w:cs="Times New Roman"/>
          <w:sz w:val="24"/>
          <w:szCs w:val="24"/>
        </w:rPr>
      </w:pPr>
      <w:r w:rsidRPr="00712F37">
        <w:rPr>
          <w:rFonts w:ascii="Times New Roman" w:hAnsi="Times New Roman" w:cs="Times New Roman"/>
          <w:sz w:val="24"/>
          <w:szCs w:val="24"/>
        </w:rPr>
        <w:br w:type="page"/>
      </w:r>
    </w:p>
    <w:p w:rsidR="00D707C5" w:rsidRPr="00712F37" w:rsidRDefault="00E72B42" w:rsidP="00712F37">
      <w:pPr>
        <w:spacing w:after="0" w:line="480" w:lineRule="auto"/>
        <w:jc w:val="center"/>
        <w:rPr>
          <w:rFonts w:ascii="Times New Roman" w:hAnsi="Times New Roman" w:cs="Times New Roman"/>
          <w:sz w:val="24"/>
          <w:szCs w:val="24"/>
        </w:rPr>
      </w:pPr>
      <w:r w:rsidRPr="00712F37">
        <w:rPr>
          <w:rFonts w:ascii="Times New Roman" w:hAnsi="Times New Roman" w:cs="Times New Roman"/>
          <w:sz w:val="24"/>
          <w:szCs w:val="24"/>
        </w:rPr>
        <w:lastRenderedPageBreak/>
        <w:t xml:space="preserve">References </w:t>
      </w:r>
    </w:p>
    <w:p w:rsidR="007A3810" w:rsidRPr="00712F37" w:rsidRDefault="007A3810" w:rsidP="007A3810">
      <w:pPr>
        <w:spacing w:after="0" w:line="480" w:lineRule="auto"/>
        <w:ind w:left="720" w:hanging="720"/>
        <w:rPr>
          <w:rStyle w:val="doi"/>
          <w:rFonts w:ascii="Times New Roman" w:hAnsi="Times New Roman" w:cs="Times New Roman"/>
          <w:sz w:val="24"/>
          <w:szCs w:val="24"/>
        </w:rPr>
      </w:pPr>
      <w:r w:rsidRPr="00692547">
        <w:rPr>
          <w:rFonts w:ascii="Times New Roman" w:eastAsia="Times New Roman" w:hAnsi="Times New Roman" w:cs="Times New Roman"/>
          <w:sz w:val="24"/>
          <w:szCs w:val="24"/>
        </w:rPr>
        <w:t xml:space="preserve">Dixit, M., Doan, T., Kirschner, R., &amp; Dixit, N. (2010). Significant acute kidney injury due to non-steroidal anti-inflammatory drugs: Inpatient setting. </w:t>
      </w:r>
      <w:r w:rsidRPr="00692547">
        <w:rPr>
          <w:rFonts w:ascii="Times New Roman" w:eastAsia="Times New Roman" w:hAnsi="Times New Roman" w:cs="Times New Roman"/>
          <w:i/>
          <w:iCs/>
          <w:sz w:val="24"/>
          <w:szCs w:val="24"/>
        </w:rPr>
        <w:t>Pharmaceuticals</w:t>
      </w:r>
      <w:r w:rsidRPr="00692547">
        <w:rPr>
          <w:rFonts w:ascii="Times New Roman" w:eastAsia="Times New Roman" w:hAnsi="Times New Roman" w:cs="Times New Roman"/>
          <w:sz w:val="24"/>
          <w:szCs w:val="24"/>
        </w:rPr>
        <w:t xml:space="preserve">, </w:t>
      </w:r>
      <w:r w:rsidRPr="00692547">
        <w:rPr>
          <w:rFonts w:ascii="Times New Roman" w:eastAsia="Times New Roman" w:hAnsi="Times New Roman" w:cs="Times New Roman"/>
          <w:i/>
          <w:iCs/>
          <w:sz w:val="24"/>
          <w:szCs w:val="24"/>
        </w:rPr>
        <w:t>3</w:t>
      </w:r>
      <w:r w:rsidRPr="00692547">
        <w:rPr>
          <w:rFonts w:ascii="Times New Roman" w:eastAsia="Times New Roman" w:hAnsi="Times New Roman" w:cs="Times New Roman"/>
          <w:sz w:val="24"/>
          <w:szCs w:val="24"/>
        </w:rPr>
        <w:t>(4), 1279-1285.</w:t>
      </w:r>
      <w:r w:rsidRPr="00712F37">
        <w:rPr>
          <w:rFonts w:ascii="Times New Roman" w:eastAsia="Times New Roman" w:hAnsi="Times New Roman" w:cs="Times New Roman"/>
          <w:sz w:val="24"/>
          <w:szCs w:val="24"/>
        </w:rPr>
        <w:t xml:space="preserve"> </w:t>
      </w:r>
      <w:r w:rsidRPr="00712F37">
        <w:rPr>
          <w:rStyle w:val="doi"/>
          <w:rFonts w:ascii="Times New Roman" w:hAnsi="Times New Roman" w:cs="Times New Roman"/>
          <w:sz w:val="24"/>
          <w:szCs w:val="24"/>
        </w:rPr>
        <w:t>doi:  [</w:t>
      </w:r>
      <w:hyperlink r:id="rId6" w:tgtFrame="pmc_ext" w:history="1">
        <w:r w:rsidRPr="00712F37">
          <w:rPr>
            <w:rStyle w:val="Hyperlink"/>
            <w:rFonts w:ascii="Times New Roman" w:hAnsi="Times New Roman" w:cs="Times New Roman"/>
            <w:sz w:val="24"/>
            <w:szCs w:val="24"/>
          </w:rPr>
          <w:t>10.3390/ph3041279</w:t>
        </w:r>
      </w:hyperlink>
      <w:r w:rsidRPr="00712F37">
        <w:rPr>
          <w:rStyle w:val="doi"/>
          <w:rFonts w:ascii="Times New Roman" w:hAnsi="Times New Roman" w:cs="Times New Roman"/>
          <w:sz w:val="24"/>
          <w:szCs w:val="24"/>
        </w:rPr>
        <w:t>]</w:t>
      </w:r>
    </w:p>
    <w:p w:rsidR="007A3810" w:rsidRPr="00712F37" w:rsidRDefault="007A3810" w:rsidP="007A3810">
      <w:pPr>
        <w:spacing w:after="0" w:line="480" w:lineRule="auto"/>
        <w:ind w:left="720" w:hanging="720"/>
        <w:rPr>
          <w:rStyle w:val="doi"/>
          <w:rFonts w:ascii="Times New Roman" w:hAnsi="Times New Roman" w:cs="Times New Roman"/>
          <w:sz w:val="24"/>
          <w:szCs w:val="24"/>
        </w:rPr>
      </w:pPr>
      <w:r w:rsidRPr="00692547">
        <w:rPr>
          <w:rFonts w:ascii="Times New Roman" w:eastAsia="Times New Roman" w:hAnsi="Times New Roman" w:cs="Times New Roman"/>
          <w:sz w:val="24"/>
          <w:szCs w:val="24"/>
        </w:rPr>
        <w:t xml:space="preserve">Goldstein, J. L., &amp; Cryer, B. (2015). Gastrointestinal injury associated with NSAID use: a case study and review of risk factors and preventative strategies. </w:t>
      </w:r>
      <w:r w:rsidRPr="00692547">
        <w:rPr>
          <w:rFonts w:ascii="Times New Roman" w:eastAsia="Times New Roman" w:hAnsi="Times New Roman" w:cs="Times New Roman"/>
          <w:i/>
          <w:iCs/>
          <w:sz w:val="24"/>
          <w:szCs w:val="24"/>
        </w:rPr>
        <w:t>Drug, healthcare and patient safety</w:t>
      </w:r>
      <w:r w:rsidRPr="00692547">
        <w:rPr>
          <w:rFonts w:ascii="Times New Roman" w:eastAsia="Times New Roman" w:hAnsi="Times New Roman" w:cs="Times New Roman"/>
          <w:sz w:val="24"/>
          <w:szCs w:val="24"/>
        </w:rPr>
        <w:t xml:space="preserve">, </w:t>
      </w:r>
      <w:r w:rsidRPr="00692547">
        <w:rPr>
          <w:rFonts w:ascii="Times New Roman" w:eastAsia="Times New Roman" w:hAnsi="Times New Roman" w:cs="Times New Roman"/>
          <w:i/>
          <w:iCs/>
          <w:sz w:val="24"/>
          <w:szCs w:val="24"/>
        </w:rPr>
        <w:t>7</w:t>
      </w:r>
      <w:r w:rsidRPr="00692547">
        <w:rPr>
          <w:rFonts w:ascii="Times New Roman" w:eastAsia="Times New Roman" w:hAnsi="Times New Roman" w:cs="Times New Roman"/>
          <w:sz w:val="24"/>
          <w:szCs w:val="24"/>
        </w:rPr>
        <w:t>, 31.</w:t>
      </w:r>
      <w:r w:rsidRPr="00712F37">
        <w:rPr>
          <w:rFonts w:ascii="Times New Roman" w:eastAsia="Times New Roman" w:hAnsi="Times New Roman" w:cs="Times New Roman"/>
          <w:sz w:val="24"/>
          <w:szCs w:val="24"/>
        </w:rPr>
        <w:t xml:space="preserve"> </w:t>
      </w:r>
      <w:r w:rsidRPr="00712F37">
        <w:rPr>
          <w:rStyle w:val="doi"/>
          <w:rFonts w:ascii="Times New Roman" w:hAnsi="Times New Roman" w:cs="Times New Roman"/>
          <w:sz w:val="24"/>
          <w:szCs w:val="24"/>
        </w:rPr>
        <w:t>doi:  [</w:t>
      </w:r>
      <w:hyperlink r:id="rId7" w:tgtFrame="pmc_ext" w:history="1">
        <w:r w:rsidRPr="00712F37">
          <w:rPr>
            <w:rStyle w:val="Hyperlink"/>
            <w:rFonts w:ascii="Times New Roman" w:hAnsi="Times New Roman" w:cs="Times New Roman"/>
            <w:sz w:val="24"/>
            <w:szCs w:val="24"/>
          </w:rPr>
          <w:t>10.2147/DHPS.S71976</w:t>
        </w:r>
      </w:hyperlink>
      <w:r w:rsidRPr="00712F37">
        <w:rPr>
          <w:rStyle w:val="doi"/>
          <w:rFonts w:ascii="Times New Roman" w:hAnsi="Times New Roman" w:cs="Times New Roman"/>
          <w:sz w:val="24"/>
          <w:szCs w:val="24"/>
        </w:rPr>
        <w:t>]</w:t>
      </w:r>
    </w:p>
    <w:p w:rsidR="007A3810" w:rsidRPr="00712F37" w:rsidRDefault="007A3810" w:rsidP="007A3810">
      <w:pPr>
        <w:spacing w:after="0" w:line="480" w:lineRule="auto"/>
        <w:ind w:left="720" w:hanging="720"/>
        <w:rPr>
          <w:rStyle w:val="doi"/>
          <w:rFonts w:ascii="Times New Roman" w:hAnsi="Times New Roman" w:cs="Times New Roman"/>
          <w:sz w:val="24"/>
          <w:szCs w:val="24"/>
        </w:rPr>
      </w:pPr>
      <w:r w:rsidRPr="00712F37">
        <w:rPr>
          <w:rFonts w:ascii="Times New Roman" w:hAnsi="Times New Roman" w:cs="Times New Roman"/>
          <w:sz w:val="24"/>
          <w:szCs w:val="24"/>
        </w:rPr>
        <w:t xml:space="preserve">Lanas, A. (2016). </w:t>
      </w:r>
      <w:r w:rsidRPr="00712F37">
        <w:rPr>
          <w:rFonts w:ascii="Times New Roman" w:hAnsi="Times New Roman" w:cs="Times New Roman"/>
          <w:i/>
          <w:iCs/>
          <w:sz w:val="24"/>
          <w:szCs w:val="24"/>
        </w:rPr>
        <w:t>NSAIDs and aspirin: Recent advances and implications for clinical management</w:t>
      </w:r>
      <w:r w:rsidRPr="00712F37">
        <w:rPr>
          <w:rFonts w:ascii="Times New Roman" w:hAnsi="Times New Roman" w:cs="Times New Roman"/>
          <w:sz w:val="24"/>
          <w:szCs w:val="24"/>
        </w:rPr>
        <w:t>.</w:t>
      </w:r>
      <w:r w:rsidRPr="00712F37">
        <w:rPr>
          <w:rFonts w:ascii="Times New Roman" w:hAnsi="Times New Roman" w:cs="Times New Roman"/>
          <w:sz w:val="24"/>
          <w:szCs w:val="24"/>
        </w:rPr>
        <w:t xml:space="preserve"> Switzerland: Springer. </w:t>
      </w:r>
    </w:p>
    <w:p w:rsidR="007A3810" w:rsidRPr="00712F37" w:rsidRDefault="007A3810" w:rsidP="007A3810">
      <w:pPr>
        <w:spacing w:after="0" w:line="480" w:lineRule="auto"/>
        <w:ind w:left="720" w:hanging="720"/>
        <w:rPr>
          <w:rStyle w:val="doi"/>
          <w:rFonts w:ascii="Times New Roman" w:hAnsi="Times New Roman" w:cs="Times New Roman"/>
          <w:sz w:val="24"/>
          <w:szCs w:val="24"/>
        </w:rPr>
      </w:pPr>
      <w:r w:rsidRPr="00692547">
        <w:rPr>
          <w:rFonts w:ascii="Times New Roman" w:eastAsia="Times New Roman" w:hAnsi="Times New Roman" w:cs="Times New Roman"/>
          <w:sz w:val="24"/>
          <w:szCs w:val="24"/>
        </w:rPr>
        <w:t xml:space="preserve">Varga, Z., rafay ali Sabzwari, S., &amp; Vargova, V. (2017). Cardiovascular risk of nonsteroidal anti-inflammatory drugs: an under-recognized public health issue. </w:t>
      </w:r>
      <w:r w:rsidRPr="00692547">
        <w:rPr>
          <w:rFonts w:ascii="Times New Roman" w:eastAsia="Times New Roman" w:hAnsi="Times New Roman" w:cs="Times New Roman"/>
          <w:i/>
          <w:iCs/>
          <w:sz w:val="24"/>
          <w:szCs w:val="24"/>
        </w:rPr>
        <w:t>Cureus</w:t>
      </w:r>
      <w:r w:rsidRPr="00692547">
        <w:rPr>
          <w:rFonts w:ascii="Times New Roman" w:eastAsia="Times New Roman" w:hAnsi="Times New Roman" w:cs="Times New Roman"/>
          <w:sz w:val="24"/>
          <w:szCs w:val="24"/>
        </w:rPr>
        <w:t xml:space="preserve">, </w:t>
      </w:r>
      <w:r w:rsidRPr="00692547">
        <w:rPr>
          <w:rFonts w:ascii="Times New Roman" w:eastAsia="Times New Roman" w:hAnsi="Times New Roman" w:cs="Times New Roman"/>
          <w:i/>
          <w:iCs/>
          <w:sz w:val="24"/>
          <w:szCs w:val="24"/>
        </w:rPr>
        <w:t>9</w:t>
      </w:r>
      <w:r w:rsidRPr="00692547">
        <w:rPr>
          <w:rFonts w:ascii="Times New Roman" w:eastAsia="Times New Roman" w:hAnsi="Times New Roman" w:cs="Times New Roman"/>
          <w:sz w:val="24"/>
          <w:szCs w:val="24"/>
        </w:rPr>
        <w:t>(4).</w:t>
      </w:r>
      <w:r w:rsidRPr="00712F37">
        <w:rPr>
          <w:rFonts w:ascii="Times New Roman" w:eastAsia="Times New Roman" w:hAnsi="Times New Roman" w:cs="Times New Roman"/>
          <w:sz w:val="24"/>
          <w:szCs w:val="24"/>
        </w:rPr>
        <w:t xml:space="preserve"> </w:t>
      </w:r>
      <w:r w:rsidRPr="00712F37">
        <w:rPr>
          <w:rStyle w:val="doi"/>
          <w:rFonts w:ascii="Times New Roman" w:hAnsi="Times New Roman" w:cs="Times New Roman"/>
          <w:sz w:val="24"/>
          <w:szCs w:val="24"/>
        </w:rPr>
        <w:t>doi:  [</w:t>
      </w:r>
      <w:hyperlink r:id="rId8" w:tgtFrame="pmc_ext" w:history="1">
        <w:r w:rsidRPr="00712F37">
          <w:rPr>
            <w:rStyle w:val="Hyperlink"/>
            <w:rFonts w:ascii="Times New Roman" w:hAnsi="Times New Roman" w:cs="Times New Roman"/>
            <w:sz w:val="24"/>
            <w:szCs w:val="24"/>
          </w:rPr>
          <w:t>10.7759/cureus.1144</w:t>
        </w:r>
      </w:hyperlink>
      <w:r w:rsidRPr="00712F37">
        <w:rPr>
          <w:rStyle w:val="doi"/>
          <w:rFonts w:ascii="Times New Roman" w:hAnsi="Times New Roman" w:cs="Times New Roman"/>
          <w:sz w:val="24"/>
          <w:szCs w:val="24"/>
        </w:rPr>
        <w:t>]</w:t>
      </w:r>
    </w:p>
    <w:p w:rsidR="00692547" w:rsidRPr="00692547" w:rsidRDefault="00692547" w:rsidP="00712F37">
      <w:pPr>
        <w:spacing w:after="0" w:line="480" w:lineRule="auto"/>
        <w:rPr>
          <w:rFonts w:ascii="Times New Roman" w:eastAsia="Times New Roman" w:hAnsi="Times New Roman" w:cs="Times New Roman"/>
          <w:sz w:val="24"/>
          <w:szCs w:val="24"/>
        </w:rPr>
      </w:pPr>
    </w:p>
    <w:p w:rsidR="00692547" w:rsidRPr="00692547" w:rsidRDefault="00692547" w:rsidP="00712F37">
      <w:pPr>
        <w:spacing w:after="0" w:line="480" w:lineRule="auto"/>
        <w:rPr>
          <w:rFonts w:ascii="Times New Roman" w:eastAsia="Times New Roman" w:hAnsi="Times New Roman" w:cs="Times New Roman"/>
          <w:sz w:val="24"/>
          <w:szCs w:val="24"/>
        </w:rPr>
      </w:pPr>
    </w:p>
    <w:p w:rsidR="00692547" w:rsidRPr="00692547" w:rsidRDefault="00692547" w:rsidP="00712F37">
      <w:pPr>
        <w:spacing w:after="0" w:line="480" w:lineRule="auto"/>
        <w:rPr>
          <w:rFonts w:ascii="Times New Roman" w:eastAsia="Times New Roman" w:hAnsi="Times New Roman" w:cs="Times New Roman"/>
          <w:sz w:val="24"/>
          <w:szCs w:val="24"/>
        </w:rPr>
      </w:pPr>
    </w:p>
    <w:p w:rsidR="00E72B42" w:rsidRPr="00712F37" w:rsidRDefault="00E72B42" w:rsidP="00712F37">
      <w:pPr>
        <w:spacing w:after="0" w:line="480" w:lineRule="auto"/>
        <w:rPr>
          <w:rFonts w:ascii="Times New Roman" w:hAnsi="Times New Roman" w:cs="Times New Roman"/>
          <w:sz w:val="24"/>
          <w:szCs w:val="24"/>
        </w:rPr>
      </w:pPr>
    </w:p>
    <w:sectPr w:rsidR="00E72B42" w:rsidRPr="00712F37" w:rsidSect="00E72B4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CAC" w:rsidRDefault="00D92CAC" w:rsidP="00E72B42">
      <w:pPr>
        <w:spacing w:after="0" w:line="240" w:lineRule="auto"/>
      </w:pPr>
      <w:r>
        <w:separator/>
      </w:r>
    </w:p>
  </w:endnote>
  <w:endnote w:type="continuationSeparator" w:id="0">
    <w:p w:rsidR="00D92CAC" w:rsidRDefault="00D92CAC" w:rsidP="00E72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CAC" w:rsidRDefault="00D92CAC" w:rsidP="00E72B42">
      <w:pPr>
        <w:spacing w:after="0" w:line="240" w:lineRule="auto"/>
      </w:pPr>
      <w:r>
        <w:separator/>
      </w:r>
    </w:p>
  </w:footnote>
  <w:footnote w:type="continuationSeparator" w:id="0">
    <w:p w:rsidR="00D92CAC" w:rsidRDefault="00D92CAC" w:rsidP="00E72B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B42" w:rsidRPr="00E72B42" w:rsidRDefault="00E72B42" w:rsidP="00E72B42">
    <w:pPr>
      <w:pStyle w:val="Header"/>
      <w:spacing w:line="480" w:lineRule="auto"/>
      <w:jc w:val="right"/>
      <w:rPr>
        <w:rFonts w:ascii="Times New Roman" w:hAnsi="Times New Roman" w:cs="Times New Roman"/>
        <w:sz w:val="24"/>
        <w:szCs w:val="24"/>
      </w:rPr>
    </w:pPr>
    <w:r w:rsidRPr="00E72B42">
      <w:rPr>
        <w:rFonts w:ascii="Times New Roman" w:hAnsi="Times New Roman" w:cs="Times New Roman"/>
        <w:sz w:val="24"/>
        <w:szCs w:val="24"/>
      </w:rPr>
      <w:t>COX INHIBITORS</w:t>
    </w:r>
    <w:r>
      <w:rPr>
        <w:rFonts w:ascii="Times New Roman" w:hAnsi="Times New Roman" w:cs="Times New Roman"/>
        <w:sz w:val="24"/>
        <w:szCs w:val="24"/>
      </w:rPr>
      <w:tab/>
    </w:r>
    <w:r>
      <w:rPr>
        <w:rFonts w:ascii="Times New Roman" w:hAnsi="Times New Roman" w:cs="Times New Roman"/>
        <w:sz w:val="24"/>
        <w:szCs w:val="24"/>
      </w:rPr>
      <w:tab/>
    </w:r>
    <w:r w:rsidRPr="00E72B42">
      <w:rPr>
        <w:rFonts w:ascii="Times New Roman" w:hAnsi="Times New Roman" w:cs="Times New Roman"/>
        <w:sz w:val="24"/>
        <w:szCs w:val="24"/>
      </w:rPr>
      <w:t xml:space="preserve"> </w:t>
    </w:r>
    <w:sdt>
      <w:sdtPr>
        <w:rPr>
          <w:rFonts w:ascii="Times New Roman" w:hAnsi="Times New Roman" w:cs="Times New Roman"/>
          <w:sz w:val="24"/>
          <w:szCs w:val="24"/>
        </w:rPr>
        <w:id w:val="-1411001094"/>
        <w:docPartObj>
          <w:docPartGallery w:val="Page Numbers (Top of Page)"/>
          <w:docPartUnique/>
        </w:docPartObj>
      </w:sdtPr>
      <w:sdtEndPr>
        <w:rPr>
          <w:noProof/>
        </w:rPr>
      </w:sdtEndPr>
      <w:sdtContent>
        <w:r w:rsidRPr="00E72B42">
          <w:rPr>
            <w:rFonts w:ascii="Times New Roman" w:hAnsi="Times New Roman" w:cs="Times New Roman"/>
            <w:sz w:val="24"/>
            <w:szCs w:val="24"/>
          </w:rPr>
          <w:fldChar w:fldCharType="begin"/>
        </w:r>
        <w:r w:rsidRPr="00E72B42">
          <w:rPr>
            <w:rFonts w:ascii="Times New Roman" w:hAnsi="Times New Roman" w:cs="Times New Roman"/>
            <w:sz w:val="24"/>
            <w:szCs w:val="24"/>
          </w:rPr>
          <w:instrText xml:space="preserve"> PAGE   \* MERGEFORMAT </w:instrText>
        </w:r>
        <w:r w:rsidRPr="00E72B42">
          <w:rPr>
            <w:rFonts w:ascii="Times New Roman" w:hAnsi="Times New Roman" w:cs="Times New Roman"/>
            <w:sz w:val="24"/>
            <w:szCs w:val="24"/>
          </w:rPr>
          <w:fldChar w:fldCharType="separate"/>
        </w:r>
        <w:r w:rsidR="00A72106">
          <w:rPr>
            <w:rFonts w:ascii="Times New Roman" w:hAnsi="Times New Roman" w:cs="Times New Roman"/>
            <w:noProof/>
            <w:sz w:val="24"/>
            <w:szCs w:val="24"/>
          </w:rPr>
          <w:t>5</w:t>
        </w:r>
        <w:r w:rsidRPr="00E72B42">
          <w:rPr>
            <w:rFonts w:ascii="Times New Roman" w:hAnsi="Times New Roman" w:cs="Times New Roman"/>
            <w:noProof/>
            <w:sz w:val="24"/>
            <w:szCs w:val="24"/>
          </w:rPr>
          <w:fldChar w:fldCharType="end"/>
        </w:r>
      </w:sdtContent>
    </w:sdt>
  </w:p>
  <w:p w:rsidR="00E72B42" w:rsidRDefault="00E72B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A74" w:rsidRPr="00C07A74" w:rsidRDefault="00C07A74" w:rsidP="00C07A74">
    <w:pPr>
      <w:pStyle w:val="Header"/>
      <w:spacing w:line="480" w:lineRule="auto"/>
      <w:jc w:val="right"/>
      <w:rPr>
        <w:rFonts w:ascii="Times New Roman" w:hAnsi="Times New Roman" w:cs="Times New Roman"/>
        <w:sz w:val="24"/>
        <w:szCs w:val="24"/>
      </w:rPr>
    </w:pPr>
    <w:r w:rsidRPr="00C07A74">
      <w:rPr>
        <w:rFonts w:ascii="Times New Roman" w:hAnsi="Times New Roman" w:cs="Times New Roman"/>
        <w:sz w:val="24"/>
        <w:szCs w:val="24"/>
      </w:rPr>
      <w:t xml:space="preserve">Running head: </w:t>
    </w:r>
    <w:r w:rsidRPr="00C07A74">
      <w:rPr>
        <w:rFonts w:ascii="Times New Roman" w:hAnsi="Times New Roman" w:cs="Times New Roman"/>
        <w:sz w:val="24"/>
        <w:szCs w:val="24"/>
      </w:rPr>
      <w:t>COX INHIBITORS</w:t>
    </w:r>
    <w:r>
      <w:rPr>
        <w:rFonts w:ascii="Times New Roman" w:hAnsi="Times New Roman" w:cs="Times New Roman"/>
        <w:sz w:val="24"/>
        <w:szCs w:val="24"/>
      </w:rPr>
      <w:tab/>
    </w:r>
    <w:r>
      <w:rPr>
        <w:rFonts w:ascii="Times New Roman" w:hAnsi="Times New Roman" w:cs="Times New Roman"/>
        <w:sz w:val="24"/>
        <w:szCs w:val="24"/>
      </w:rPr>
      <w:tab/>
    </w:r>
    <w:r w:rsidRPr="00C07A74">
      <w:rPr>
        <w:rFonts w:ascii="Times New Roman" w:hAnsi="Times New Roman" w:cs="Times New Roman"/>
        <w:sz w:val="24"/>
        <w:szCs w:val="24"/>
      </w:rPr>
      <w:t xml:space="preserve"> </w:t>
    </w:r>
    <w:sdt>
      <w:sdtPr>
        <w:rPr>
          <w:rFonts w:ascii="Times New Roman" w:hAnsi="Times New Roman" w:cs="Times New Roman"/>
          <w:sz w:val="24"/>
          <w:szCs w:val="24"/>
        </w:rPr>
        <w:id w:val="181560196"/>
        <w:docPartObj>
          <w:docPartGallery w:val="Page Numbers (Top of Page)"/>
          <w:docPartUnique/>
        </w:docPartObj>
      </w:sdtPr>
      <w:sdtEndPr>
        <w:rPr>
          <w:noProof/>
        </w:rPr>
      </w:sdtEndPr>
      <w:sdtContent>
        <w:r w:rsidRPr="00C07A74">
          <w:rPr>
            <w:rFonts w:ascii="Times New Roman" w:hAnsi="Times New Roman" w:cs="Times New Roman"/>
            <w:sz w:val="24"/>
            <w:szCs w:val="24"/>
          </w:rPr>
          <w:fldChar w:fldCharType="begin"/>
        </w:r>
        <w:r w:rsidRPr="00C07A74">
          <w:rPr>
            <w:rFonts w:ascii="Times New Roman" w:hAnsi="Times New Roman" w:cs="Times New Roman"/>
            <w:sz w:val="24"/>
            <w:szCs w:val="24"/>
          </w:rPr>
          <w:instrText xml:space="preserve"> PAGE   \* MERGEFORMAT </w:instrText>
        </w:r>
        <w:r w:rsidRPr="00C07A74">
          <w:rPr>
            <w:rFonts w:ascii="Times New Roman" w:hAnsi="Times New Roman" w:cs="Times New Roman"/>
            <w:sz w:val="24"/>
            <w:szCs w:val="24"/>
          </w:rPr>
          <w:fldChar w:fldCharType="separate"/>
        </w:r>
        <w:r w:rsidR="00A72106">
          <w:rPr>
            <w:rFonts w:ascii="Times New Roman" w:hAnsi="Times New Roman" w:cs="Times New Roman"/>
            <w:noProof/>
            <w:sz w:val="24"/>
            <w:szCs w:val="24"/>
          </w:rPr>
          <w:t>1</w:t>
        </w:r>
        <w:r w:rsidRPr="00C07A74">
          <w:rPr>
            <w:rFonts w:ascii="Times New Roman" w:hAnsi="Times New Roman" w:cs="Times New Roman"/>
            <w:noProof/>
            <w:sz w:val="24"/>
            <w:szCs w:val="24"/>
          </w:rPr>
          <w:fldChar w:fldCharType="end"/>
        </w:r>
      </w:sdtContent>
    </w:sdt>
  </w:p>
  <w:p w:rsidR="00E72B42" w:rsidRDefault="00E72B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687"/>
    <w:rsid w:val="000154C1"/>
    <w:rsid w:val="0043640E"/>
    <w:rsid w:val="004A0233"/>
    <w:rsid w:val="00650278"/>
    <w:rsid w:val="00692547"/>
    <w:rsid w:val="00712F37"/>
    <w:rsid w:val="00752D0F"/>
    <w:rsid w:val="007A3810"/>
    <w:rsid w:val="007E17D0"/>
    <w:rsid w:val="008C7BAF"/>
    <w:rsid w:val="009329F2"/>
    <w:rsid w:val="00972F6D"/>
    <w:rsid w:val="00A72106"/>
    <w:rsid w:val="00B069E1"/>
    <w:rsid w:val="00B33687"/>
    <w:rsid w:val="00C07A74"/>
    <w:rsid w:val="00C82B5E"/>
    <w:rsid w:val="00D707C5"/>
    <w:rsid w:val="00D70E44"/>
    <w:rsid w:val="00D92CAC"/>
    <w:rsid w:val="00E72B42"/>
    <w:rsid w:val="00EC2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1CD923-E15E-4DA5-BC8C-F188FF55A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B42"/>
  </w:style>
  <w:style w:type="paragraph" w:styleId="Footer">
    <w:name w:val="footer"/>
    <w:basedOn w:val="Normal"/>
    <w:link w:val="FooterChar"/>
    <w:uiPriority w:val="99"/>
    <w:unhideWhenUsed/>
    <w:rsid w:val="00E72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B42"/>
  </w:style>
  <w:style w:type="character" w:customStyle="1" w:styleId="doi">
    <w:name w:val="doi"/>
    <w:basedOn w:val="DefaultParagraphFont"/>
    <w:rsid w:val="00692547"/>
  </w:style>
  <w:style w:type="character" w:styleId="Hyperlink">
    <w:name w:val="Hyperlink"/>
    <w:basedOn w:val="DefaultParagraphFont"/>
    <w:uiPriority w:val="99"/>
    <w:semiHidden/>
    <w:unhideWhenUsed/>
    <w:rsid w:val="006925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182331">
      <w:bodyDiv w:val="1"/>
      <w:marLeft w:val="0"/>
      <w:marRight w:val="0"/>
      <w:marTop w:val="0"/>
      <w:marBottom w:val="0"/>
      <w:divBdr>
        <w:top w:val="none" w:sz="0" w:space="0" w:color="auto"/>
        <w:left w:val="none" w:sz="0" w:space="0" w:color="auto"/>
        <w:bottom w:val="none" w:sz="0" w:space="0" w:color="auto"/>
        <w:right w:val="none" w:sz="0" w:space="0" w:color="auto"/>
      </w:divBdr>
      <w:divsChild>
        <w:div w:id="1271861487">
          <w:marLeft w:val="0"/>
          <w:marRight w:val="0"/>
          <w:marTop w:val="0"/>
          <w:marBottom w:val="0"/>
          <w:divBdr>
            <w:top w:val="none" w:sz="0" w:space="0" w:color="auto"/>
            <w:left w:val="none" w:sz="0" w:space="0" w:color="auto"/>
            <w:bottom w:val="none" w:sz="0" w:space="0" w:color="auto"/>
            <w:right w:val="none" w:sz="0" w:space="0" w:color="auto"/>
          </w:divBdr>
        </w:div>
      </w:divsChild>
    </w:div>
    <w:div w:id="1439909431">
      <w:bodyDiv w:val="1"/>
      <w:marLeft w:val="0"/>
      <w:marRight w:val="0"/>
      <w:marTop w:val="0"/>
      <w:marBottom w:val="0"/>
      <w:divBdr>
        <w:top w:val="none" w:sz="0" w:space="0" w:color="auto"/>
        <w:left w:val="none" w:sz="0" w:space="0" w:color="auto"/>
        <w:bottom w:val="none" w:sz="0" w:space="0" w:color="auto"/>
        <w:right w:val="none" w:sz="0" w:space="0" w:color="auto"/>
      </w:divBdr>
      <w:divsChild>
        <w:div w:id="1705205592">
          <w:marLeft w:val="0"/>
          <w:marRight w:val="0"/>
          <w:marTop w:val="0"/>
          <w:marBottom w:val="0"/>
          <w:divBdr>
            <w:top w:val="none" w:sz="0" w:space="0" w:color="auto"/>
            <w:left w:val="none" w:sz="0" w:space="0" w:color="auto"/>
            <w:bottom w:val="none" w:sz="0" w:space="0" w:color="auto"/>
            <w:right w:val="none" w:sz="0" w:space="0" w:color="auto"/>
          </w:divBdr>
        </w:div>
      </w:divsChild>
    </w:div>
    <w:div w:id="1974939336">
      <w:bodyDiv w:val="1"/>
      <w:marLeft w:val="0"/>
      <w:marRight w:val="0"/>
      <w:marTop w:val="0"/>
      <w:marBottom w:val="0"/>
      <w:divBdr>
        <w:top w:val="none" w:sz="0" w:space="0" w:color="auto"/>
        <w:left w:val="none" w:sz="0" w:space="0" w:color="auto"/>
        <w:bottom w:val="none" w:sz="0" w:space="0" w:color="auto"/>
        <w:right w:val="none" w:sz="0" w:space="0" w:color="auto"/>
      </w:divBdr>
      <w:divsChild>
        <w:div w:id="1931767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7759%2Fcureus.1144" TargetMode="External"/><Relationship Id="rId3" Type="http://schemas.openxmlformats.org/officeDocument/2006/relationships/webSettings" Target="webSettings.xml"/><Relationship Id="rId7" Type="http://schemas.openxmlformats.org/officeDocument/2006/relationships/hyperlink" Target="https://dx.doi.org/10.2147%2FDHPS.S7197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3390%2Fph304127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2018-11-23T04:43:00Z</dcterms:created>
  <dcterms:modified xsi:type="dcterms:W3CDTF">2018-11-23T06:05:00Z</dcterms:modified>
</cp:coreProperties>
</file>